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C4404" w14:textId="77777777" w:rsidR="00577D45" w:rsidRPr="0024155D" w:rsidRDefault="00577D45" w:rsidP="00577D4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Open Sans" w:eastAsia="Times New Roman" w:hAnsi="Open Sans" w:cs="Times New Roman"/>
          <w:b/>
          <w:bCs/>
          <w:sz w:val="24"/>
          <w:szCs w:val="28"/>
          <w:lang w:val="sr-Cyrl-CS" w:eastAsia="nl-NL"/>
        </w:rPr>
      </w:pPr>
      <w:bookmarkStart w:id="0" w:name="_Toc51918019"/>
      <w:r w:rsidRPr="0024155D">
        <w:rPr>
          <w:rFonts w:ascii="Open Sans" w:eastAsia="Times New Roman" w:hAnsi="Open Sans" w:cs="Times New Roman"/>
          <w:b/>
          <w:bCs/>
          <w:sz w:val="24"/>
          <w:szCs w:val="28"/>
          <w:lang w:val="ru-RU" w:eastAsia="nl-NL"/>
        </w:rPr>
        <w:t>Динамички план реализације предмета</w:t>
      </w:r>
      <w:r w:rsidRPr="0024155D">
        <w:rPr>
          <w:rFonts w:ascii="Open Sans" w:eastAsia="Times New Roman" w:hAnsi="Open Sans" w:cs="Times New Roman"/>
          <w:b/>
          <w:bCs/>
          <w:sz w:val="24"/>
          <w:szCs w:val="28"/>
          <w:lang w:val="sr-Cyrl-RS" w:eastAsia="nl-NL"/>
        </w:rPr>
        <w:t xml:space="preserve"> </w:t>
      </w:r>
      <w:r w:rsidRPr="0024155D">
        <w:rPr>
          <w:rFonts w:ascii="Open Sans" w:eastAsia="Times New Roman" w:hAnsi="Open Sans" w:cs="Times New Roman"/>
          <w:b/>
          <w:bCs/>
          <w:sz w:val="24"/>
          <w:szCs w:val="28"/>
          <w:lang w:val="sr-Cyrl-CS" w:eastAsia="nl-NL"/>
        </w:rPr>
        <w:t>Политика заштите животне средине</w:t>
      </w:r>
      <w:bookmarkEnd w:id="0"/>
    </w:p>
    <w:p w14:paraId="64AA4F14" w14:textId="77777777" w:rsidR="00577D45" w:rsidRPr="0024155D" w:rsidRDefault="00577D45" w:rsidP="00577D45">
      <w:pPr>
        <w:spacing w:after="0" w:line="240" w:lineRule="auto"/>
        <w:jc w:val="both"/>
        <w:rPr>
          <w:rFonts w:ascii="Open Sans" w:eastAsia="Times New Roman" w:hAnsi="Open Sans" w:cs="Times New Roman"/>
          <w:b/>
          <w:sz w:val="20"/>
          <w:szCs w:val="20"/>
          <w:lang w:val="sr-Cyrl-CS"/>
        </w:rPr>
      </w:pPr>
      <w:r w:rsidRPr="0024155D">
        <w:rPr>
          <w:rFonts w:ascii="Open Sans" w:eastAsia="Times New Roman" w:hAnsi="Open Sans" w:cs="Times New Roman"/>
          <w:b/>
          <w:sz w:val="20"/>
          <w:szCs w:val="20"/>
          <w:lang w:val="sr-Latn-CS"/>
        </w:rPr>
        <w:t xml:space="preserve">Студијски програм: </w:t>
      </w:r>
      <w:r>
        <w:rPr>
          <w:rFonts w:ascii="Open Sans" w:eastAsia="Times New Roman" w:hAnsi="Open Sans" w:cs="Times New Roman"/>
          <w:sz w:val="20"/>
          <w:szCs w:val="20"/>
          <w:lang w:val="sr-Cyrl-CS"/>
        </w:rPr>
        <w:t>Менаџмент заштите</w:t>
      </w:r>
      <w:r w:rsidRPr="0024155D">
        <w:rPr>
          <w:rFonts w:ascii="Open Sans" w:eastAsia="Times New Roman" w:hAnsi="Open Sans" w:cs="Times New Roman"/>
          <w:sz w:val="20"/>
          <w:szCs w:val="20"/>
          <w:lang w:val="sr-Cyrl-CS"/>
        </w:rPr>
        <w:t xml:space="preserve"> животне средине</w:t>
      </w:r>
    </w:p>
    <w:p w14:paraId="74A89565" w14:textId="77777777" w:rsidR="00577D45" w:rsidRPr="0024155D" w:rsidRDefault="00577D45" w:rsidP="00577D45">
      <w:pPr>
        <w:spacing w:after="0" w:line="240" w:lineRule="auto"/>
        <w:jc w:val="both"/>
        <w:rPr>
          <w:rFonts w:ascii="Open Sans" w:eastAsia="Times New Roman" w:hAnsi="Open Sans" w:cs="Times New Roman"/>
          <w:sz w:val="20"/>
          <w:szCs w:val="20"/>
          <w:lang w:val="sr-Latn-RS"/>
        </w:rPr>
      </w:pPr>
      <w:r w:rsidRPr="0024155D">
        <w:rPr>
          <w:rFonts w:ascii="Open Sans" w:eastAsia="Times New Roman" w:hAnsi="Open Sans" w:cs="Times New Roman"/>
          <w:b/>
          <w:sz w:val="20"/>
          <w:szCs w:val="20"/>
          <w:lang w:val="sr-Cyrl-CS"/>
        </w:rPr>
        <w:t xml:space="preserve">Наставни предмет: </w:t>
      </w:r>
      <w:r w:rsidRPr="0024155D">
        <w:rPr>
          <w:rFonts w:ascii="Open Sans" w:eastAsia="Times New Roman" w:hAnsi="Open Sans" w:cs="Times New Roman"/>
          <w:sz w:val="20"/>
          <w:szCs w:val="20"/>
          <w:lang w:val="sr-Cyrl-CS"/>
        </w:rPr>
        <w:t>Политика заштите животне средине</w:t>
      </w:r>
    </w:p>
    <w:p w14:paraId="02782973" w14:textId="77777777" w:rsidR="00577D45" w:rsidRPr="0024155D" w:rsidRDefault="00577D45" w:rsidP="00577D45">
      <w:pPr>
        <w:spacing w:after="0" w:line="240" w:lineRule="auto"/>
        <w:jc w:val="both"/>
        <w:rPr>
          <w:rFonts w:ascii="Open Sans" w:eastAsia="Times New Roman" w:hAnsi="Open Sans" w:cs="Times New Roman"/>
          <w:sz w:val="20"/>
          <w:szCs w:val="20"/>
          <w:lang w:val="sr-Latn-CS"/>
        </w:rPr>
      </w:pPr>
      <w:r w:rsidRPr="0024155D">
        <w:rPr>
          <w:rFonts w:ascii="Open Sans" w:eastAsia="Times New Roman" w:hAnsi="Open Sans" w:cs="Times New Roman"/>
          <w:b/>
          <w:sz w:val="20"/>
          <w:szCs w:val="20"/>
          <w:lang w:val="sr-Latn-CS"/>
        </w:rPr>
        <w:t xml:space="preserve">Година студија: </w:t>
      </w:r>
      <w:r w:rsidRPr="0024155D">
        <w:rPr>
          <w:rFonts w:ascii="Open Sans" w:eastAsia="Times New Roman" w:hAnsi="Open Sans" w:cs="Times New Roman"/>
          <w:bCs/>
          <w:sz w:val="20"/>
          <w:szCs w:val="20"/>
          <w:lang w:val="sr-Latn-RS"/>
        </w:rPr>
        <w:t>I</w:t>
      </w:r>
      <w:bookmarkStart w:id="1" w:name="_GoBack"/>
      <w:bookmarkEnd w:id="1"/>
    </w:p>
    <w:p w14:paraId="56DAC7AA" w14:textId="77777777" w:rsidR="00577D45" w:rsidRPr="0024155D" w:rsidRDefault="00577D45" w:rsidP="00577D45">
      <w:pPr>
        <w:spacing w:after="0" w:line="240" w:lineRule="auto"/>
        <w:jc w:val="both"/>
        <w:rPr>
          <w:rFonts w:ascii="Open Sans" w:eastAsia="Times New Roman" w:hAnsi="Open Sans" w:cs="Times New Roman"/>
          <w:sz w:val="20"/>
          <w:szCs w:val="20"/>
          <w:lang w:val="sr-Cyrl-CS"/>
        </w:rPr>
      </w:pPr>
      <w:r w:rsidRPr="0024155D">
        <w:rPr>
          <w:rFonts w:ascii="Open Sans" w:eastAsia="Times New Roman" w:hAnsi="Open Sans" w:cs="Times New Roman"/>
          <w:b/>
          <w:sz w:val="20"/>
          <w:szCs w:val="20"/>
          <w:lang w:val="sr-Cyrl-CS"/>
        </w:rPr>
        <w:t xml:space="preserve">Семестар: </w:t>
      </w:r>
      <w:r>
        <w:rPr>
          <w:rFonts w:ascii="Open Sans" w:eastAsia="Times New Roman" w:hAnsi="Open Sans" w:cs="Times New Roman"/>
          <w:sz w:val="20"/>
          <w:szCs w:val="20"/>
          <w:lang w:val="sr-Cyrl-CS"/>
        </w:rPr>
        <w:t>пролећни</w:t>
      </w:r>
      <w:r w:rsidRPr="0024155D">
        <w:rPr>
          <w:rFonts w:ascii="Open Sans" w:eastAsia="Times New Roman" w:hAnsi="Open Sans" w:cs="Times New Roman"/>
          <w:sz w:val="20"/>
          <w:szCs w:val="20"/>
          <w:lang w:val="sr-Cyrl-CS"/>
        </w:rPr>
        <w:t xml:space="preserve"> (I</w:t>
      </w:r>
      <w:r w:rsidRPr="00577D45">
        <w:rPr>
          <w:rFonts w:ascii="Open Sans" w:eastAsia="Times New Roman" w:hAnsi="Open Sans" w:cs="Times New Roman"/>
          <w:sz w:val="20"/>
          <w:szCs w:val="20"/>
          <w:lang w:val="sr-Cyrl-CS"/>
        </w:rPr>
        <w:t>I</w:t>
      </w:r>
      <w:r w:rsidRPr="0024155D">
        <w:rPr>
          <w:rFonts w:ascii="Open Sans" w:eastAsia="Times New Roman" w:hAnsi="Open Sans" w:cs="Times New Roman"/>
          <w:sz w:val="20"/>
          <w:szCs w:val="20"/>
          <w:lang w:val="sr-Cyrl-CS"/>
        </w:rPr>
        <w:t>)</w:t>
      </w:r>
    </w:p>
    <w:p w14:paraId="222AA904" w14:textId="087C2C34" w:rsidR="00577D45" w:rsidRPr="0024155D" w:rsidRDefault="00577D45" w:rsidP="00577D45">
      <w:pPr>
        <w:spacing w:after="0" w:line="240" w:lineRule="auto"/>
        <w:jc w:val="both"/>
        <w:rPr>
          <w:rFonts w:ascii="Open Sans" w:eastAsia="Times New Roman" w:hAnsi="Open Sans" w:cs="Times New Roman"/>
          <w:sz w:val="20"/>
          <w:szCs w:val="20"/>
          <w:lang w:val="sr-Latn-CS"/>
        </w:rPr>
      </w:pPr>
      <w:r w:rsidRPr="0024155D">
        <w:rPr>
          <w:rFonts w:ascii="Open Sans" w:eastAsia="Times New Roman" w:hAnsi="Open Sans" w:cs="Times New Roman"/>
          <w:b/>
          <w:sz w:val="20"/>
          <w:szCs w:val="20"/>
          <w:lang w:val="sr-Cyrl-CS"/>
        </w:rPr>
        <w:t xml:space="preserve">Школска година: </w:t>
      </w:r>
      <w:r w:rsidRPr="0024155D">
        <w:rPr>
          <w:rFonts w:ascii="Open Sans" w:eastAsia="Times New Roman" w:hAnsi="Open Sans" w:cs="Times New Roman"/>
          <w:sz w:val="20"/>
          <w:szCs w:val="20"/>
          <w:lang w:val="sr-Cyrl-CS"/>
        </w:rPr>
        <w:t>20</w:t>
      </w:r>
      <w:r w:rsidRPr="0024155D">
        <w:rPr>
          <w:rFonts w:ascii="Open Sans" w:eastAsia="Times New Roman" w:hAnsi="Open Sans" w:cs="Times New Roman"/>
          <w:sz w:val="20"/>
          <w:szCs w:val="20"/>
        </w:rPr>
        <w:t>2</w:t>
      </w:r>
      <w:r w:rsidR="00B50826">
        <w:rPr>
          <w:rFonts w:ascii="Open Sans" w:eastAsia="Times New Roman" w:hAnsi="Open Sans" w:cs="Times New Roman"/>
          <w:sz w:val="20"/>
          <w:szCs w:val="20"/>
          <w:lang w:val="sr-Cyrl-RS"/>
        </w:rPr>
        <w:t>2</w:t>
      </w:r>
      <w:r w:rsidRPr="0024155D">
        <w:rPr>
          <w:rFonts w:ascii="Open Sans" w:eastAsia="Times New Roman" w:hAnsi="Open Sans" w:cs="Times New Roman"/>
          <w:sz w:val="20"/>
          <w:szCs w:val="20"/>
          <w:lang w:val="sr-Cyrl-CS"/>
        </w:rPr>
        <w:t>/202</w:t>
      </w:r>
      <w:r w:rsidR="00B50826">
        <w:rPr>
          <w:rFonts w:ascii="Open Sans" w:eastAsia="Times New Roman" w:hAnsi="Open Sans" w:cs="Times New Roman"/>
          <w:sz w:val="20"/>
          <w:szCs w:val="20"/>
          <w:lang w:val="sr-Cyrl-RS"/>
        </w:rPr>
        <w:t>3</w:t>
      </w:r>
      <w:r w:rsidRPr="0024155D">
        <w:rPr>
          <w:rFonts w:ascii="Open Sans" w:eastAsia="Times New Roman" w:hAnsi="Open Sans" w:cs="Times New Roman"/>
          <w:sz w:val="20"/>
          <w:szCs w:val="20"/>
          <w:lang w:val="sr-Cyrl-CS"/>
        </w:rPr>
        <w:t>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1440"/>
        <w:gridCol w:w="7464"/>
      </w:tblGrid>
      <w:tr w:rsidR="00577D45" w14:paraId="30687726" w14:textId="77777777" w:rsidTr="00181EE9">
        <w:trPr>
          <w:cantSplit/>
          <w:trHeight w:val="431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59A2CA48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</w:p>
          <w:p w14:paraId="5536FF1A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sr-Cyrl-CS"/>
              </w:rPr>
              <w:t>СЕДМИЦА</w:t>
            </w:r>
          </w:p>
        </w:tc>
        <w:tc>
          <w:tcPr>
            <w:tcW w:w="7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  <w:hideMark/>
          </w:tcPr>
          <w:p w14:paraId="39E56535" w14:textId="77777777" w:rsidR="00577D45" w:rsidRDefault="00577D45" w:rsidP="00181EE9">
            <w:pPr>
              <w:spacing w:after="0"/>
              <w:ind w:left="100" w:firstLine="102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sr-Cyrl-CS"/>
              </w:rPr>
              <w:t>САДРЖАЈ РАДА</w:t>
            </w:r>
          </w:p>
        </w:tc>
      </w:tr>
      <w:tr w:rsidR="00577D45" w14:paraId="4917BFF0" w14:textId="77777777" w:rsidTr="00181EE9">
        <w:trPr>
          <w:cantSplit/>
          <w:trHeight w:val="154"/>
          <w:jc w:val="center"/>
        </w:trPr>
        <w:tc>
          <w:tcPr>
            <w:tcW w:w="73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AFBEED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3C66F0" w14:textId="45D5074A" w:rsidR="00445EAD" w:rsidRPr="00D76E86" w:rsidRDefault="00445EAD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П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редавања</w:t>
            </w:r>
          </w:p>
        </w:tc>
        <w:tc>
          <w:tcPr>
            <w:tcW w:w="74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45BAAF" w14:textId="0D1074FB" w:rsidR="00577D45" w:rsidRDefault="00577D45" w:rsidP="00E7095A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  <w:r>
              <w:rPr>
                <w:rFonts w:ascii="Open Sans" w:hAnsi="Open Sans"/>
                <w:sz w:val="18"/>
                <w:szCs w:val="18"/>
                <w:lang w:val="ru-RU"/>
              </w:rPr>
              <w:t xml:space="preserve">Уводни час – </w:t>
            </w:r>
            <w:r w:rsidRPr="00173408">
              <w:rPr>
                <w:rFonts w:ascii="Open Sans" w:hAnsi="Open Sans"/>
                <w:sz w:val="18"/>
                <w:szCs w:val="18"/>
                <w:lang w:val="ru-RU"/>
              </w:rPr>
              <w:t>предмет</w:t>
            </w:r>
            <w:r>
              <w:rPr>
                <w:rFonts w:ascii="Open Sans" w:hAnsi="Open Sans"/>
                <w:sz w:val="18"/>
                <w:szCs w:val="18"/>
                <w:lang w:val="ru-RU"/>
              </w:rPr>
              <w:t xml:space="preserve"> и</w:t>
            </w:r>
            <w:r w:rsidRPr="00173408">
              <w:rPr>
                <w:rFonts w:ascii="Open Sans" w:hAnsi="Open Sans"/>
                <w:sz w:val="18"/>
                <w:szCs w:val="18"/>
                <w:lang w:val="ru-RU"/>
              </w:rPr>
              <w:t xml:space="preserve"> садржина </w:t>
            </w:r>
            <w:r>
              <w:rPr>
                <w:rFonts w:ascii="Open Sans" w:hAnsi="Open Sans"/>
                <w:sz w:val="18"/>
                <w:szCs w:val="18"/>
                <w:lang w:val="ru-RU"/>
              </w:rPr>
              <w:t xml:space="preserve">политике заштите животне средине </w:t>
            </w:r>
            <w:r w:rsidR="00361B7D">
              <w:rPr>
                <w:rFonts w:ascii="Open Sans" w:hAnsi="Open Sans"/>
                <w:sz w:val="18"/>
                <w:szCs w:val="18"/>
                <w:lang w:val="ru-RU"/>
              </w:rPr>
              <w:t xml:space="preserve"> </w:t>
            </w:r>
          </w:p>
        </w:tc>
      </w:tr>
      <w:tr w:rsidR="00577D45" w14:paraId="50262110" w14:textId="77777777" w:rsidTr="00B50826">
        <w:trPr>
          <w:cantSplit/>
          <w:trHeight w:val="342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2B3779" w14:textId="77777777" w:rsidR="00577D45" w:rsidRDefault="00577D45" w:rsidP="00181EE9">
            <w:pPr>
              <w:spacing w:after="0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27FBFC45" w14:textId="52CE868D" w:rsidR="00445EAD" w:rsidRPr="00D76E86" w:rsidRDefault="00445EAD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В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ежбе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09099858" w14:textId="3B2D6D32" w:rsidR="00577D45" w:rsidRPr="00173408" w:rsidRDefault="00577D45" w:rsidP="00E7095A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ru-RU"/>
              </w:rPr>
              <w:t>Уводни час - д</w:t>
            </w:r>
            <w:proofErr w:type="spellStart"/>
            <w:r>
              <w:rPr>
                <w:rFonts w:ascii="Open Sans" w:hAnsi="Open Sans"/>
                <w:sz w:val="18"/>
                <w:szCs w:val="18"/>
              </w:rPr>
              <w:t>оговор</w:t>
            </w:r>
            <w:proofErr w:type="spellEnd"/>
            <w:r>
              <w:rPr>
                <w:rFonts w:ascii="Open Sans" w:hAnsi="Open Sans"/>
                <w:sz w:val="18"/>
                <w:szCs w:val="18"/>
              </w:rPr>
              <w:t xml:space="preserve"> о </w:t>
            </w:r>
            <w:r>
              <w:rPr>
                <w:rFonts w:ascii="Open Sans" w:hAnsi="Open Sans"/>
                <w:sz w:val="18"/>
                <w:szCs w:val="18"/>
                <w:lang w:val="sr-Cyrl-RS"/>
              </w:rPr>
              <w:t>начину рада</w:t>
            </w:r>
            <w:r w:rsidR="00800000">
              <w:rPr>
                <w:rFonts w:ascii="Open Sans" w:hAnsi="Open Sans"/>
                <w:sz w:val="18"/>
                <w:szCs w:val="18"/>
                <w:lang w:val="sr-Cyrl-RS"/>
              </w:rPr>
              <w:t xml:space="preserve">  </w:t>
            </w:r>
          </w:p>
        </w:tc>
      </w:tr>
      <w:tr w:rsidR="00577D45" w14:paraId="2CDAAD72" w14:textId="77777777" w:rsidTr="00181EE9">
        <w:trPr>
          <w:cantSplit/>
          <w:trHeight w:val="160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CF4C62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sz w:val="18"/>
                <w:szCs w:val="18"/>
              </w:rPr>
              <w:t>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B2492E" w14:textId="7C234D91" w:rsidR="00445EAD" w:rsidRPr="00D76E86" w:rsidRDefault="00445EAD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П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редавања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AE5409" w14:textId="7BB57A57" w:rsidR="00577D45" w:rsidRDefault="00577D45" w:rsidP="00E7095A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  <w:r>
              <w:rPr>
                <w:rFonts w:ascii="Open Sans" w:hAnsi="Open Sans"/>
                <w:bCs/>
                <w:sz w:val="18"/>
                <w:szCs w:val="18"/>
                <w:lang w:val="ru-RU" w:eastAsia="en-GB"/>
              </w:rPr>
              <w:t xml:space="preserve">Политика и етика; Етичке теорије; Етичке перспективе заштите животне средине; </w:t>
            </w:r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ru-RU" w:eastAsia="en-GB"/>
              </w:rPr>
              <w:t xml:space="preserve">Однос етике и политике заштите животне средине </w:t>
            </w:r>
          </w:p>
        </w:tc>
      </w:tr>
      <w:tr w:rsidR="00577D45" w14:paraId="790389F4" w14:textId="77777777" w:rsidTr="00181EE9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3CAF86" w14:textId="77777777" w:rsidR="00577D45" w:rsidRDefault="00577D45" w:rsidP="00181EE9">
            <w:pPr>
              <w:spacing w:after="0"/>
              <w:rPr>
                <w:rFonts w:ascii="Open Sans" w:hAnsi="Open Sans"/>
                <w:sz w:val="18"/>
                <w:szCs w:val="18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1F26A1F7" w14:textId="347ABC6B" w:rsidR="00445EAD" w:rsidRPr="00D76E86" w:rsidRDefault="00445EAD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В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ежбе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282044FE" w14:textId="3976E45F" w:rsidR="00577D45" w:rsidRPr="00D02DF2" w:rsidRDefault="00577D45" w:rsidP="00E7095A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политици и етици, етичким тероријама и етичким перспективама заштите животне средине, као и о односу етике и политике заштите животне средине</w:t>
            </w:r>
            <w:r w:rsidR="00D827EB">
              <w:rPr>
                <w:rFonts w:ascii="Open Sans" w:hAnsi="Open Sans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577D45" w14:paraId="624A2B01" w14:textId="77777777" w:rsidTr="00181EE9">
        <w:trPr>
          <w:cantSplit/>
          <w:trHeight w:val="122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D05300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sz w:val="18"/>
                <w:szCs w:val="18"/>
              </w:rPr>
              <w:t>III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0CD622" w14:textId="2570E8E0" w:rsidR="00445EAD" w:rsidRPr="00D76E86" w:rsidRDefault="00445EAD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П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редавања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7F937E" w14:textId="7163BE84" w:rsidR="00577D45" w:rsidRDefault="00577D45" w:rsidP="00E7095A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  <w:r>
              <w:rPr>
                <w:rFonts w:ascii="Open Sans" w:hAnsi="Open Sans"/>
                <w:bCs/>
                <w:sz w:val="18"/>
                <w:szCs w:val="18"/>
                <w:lang w:val="ru-RU"/>
              </w:rPr>
              <w:t>Савремене политичке теорије и о</w:t>
            </w:r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ru-RU"/>
              </w:rPr>
              <w:t>днос политичких теорија према заштити животне средине</w:t>
            </w:r>
            <w:r w:rsidR="00E7095A" w:rsidRPr="00361B7D">
              <w:rPr>
                <w:rFonts w:ascii="Open Sans" w:hAnsi="Open Sans"/>
                <w:bCs/>
                <w:sz w:val="18"/>
                <w:szCs w:val="18"/>
                <w:highlight w:val="yellow"/>
                <w:bdr w:val="none" w:sz="0" w:space="0" w:color="auto" w:frame="1"/>
                <w:lang w:val="ru-RU" w:eastAsia="en-GB"/>
              </w:rPr>
              <w:t xml:space="preserve"> </w:t>
            </w:r>
          </w:p>
        </w:tc>
      </w:tr>
      <w:tr w:rsidR="00577D45" w14:paraId="7345F533" w14:textId="77777777" w:rsidTr="00181EE9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60A439" w14:textId="77777777" w:rsidR="00577D45" w:rsidRDefault="00577D45" w:rsidP="00181EE9">
            <w:pPr>
              <w:spacing w:after="0"/>
              <w:rPr>
                <w:rFonts w:ascii="Open Sans" w:hAnsi="Open Sans"/>
                <w:sz w:val="18"/>
                <w:szCs w:val="18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6088F6E5" w14:textId="51AAEDC8" w:rsidR="00445EAD" w:rsidRPr="00D76E86" w:rsidRDefault="00445EAD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В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ежбе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0174A761" w14:textId="77777777" w:rsidR="00577D45" w:rsidRDefault="00577D45" w:rsidP="00181EE9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6A5F4D">
              <w:rPr>
                <w:rFonts w:ascii="Open Sans" w:hAnsi="Open Sans"/>
                <w:sz w:val="18"/>
                <w:szCs w:val="18"/>
                <w:lang w:val="ru-RU"/>
              </w:rPr>
              <w:t xml:space="preserve">Анализа и дискусија </w:t>
            </w:r>
            <w:r>
              <w:rPr>
                <w:rFonts w:ascii="Open Sans" w:hAnsi="Open Sans"/>
                <w:sz w:val="18"/>
                <w:szCs w:val="18"/>
                <w:lang w:val="sr-Latn-RS"/>
              </w:rPr>
              <w:t>o</w:t>
            </w:r>
            <w:r w:rsidRPr="006A5F4D">
              <w:rPr>
                <w:rFonts w:ascii="Open Sans" w:hAnsi="Open Sans"/>
                <w:sz w:val="18"/>
                <w:szCs w:val="18"/>
                <w:lang w:val="ru-RU"/>
              </w:rPr>
              <w:t xml:space="preserve"> савременим политичким теоријама и њиховом односу према заштити животне средине; Анализа случаја: недостатак воде на Блиском Истоку</w:t>
            </w:r>
          </w:p>
        </w:tc>
      </w:tr>
      <w:tr w:rsidR="00577D45" w14:paraId="56743DD5" w14:textId="77777777" w:rsidTr="00181EE9">
        <w:trPr>
          <w:cantSplit/>
          <w:trHeight w:val="160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DC91E0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sz w:val="18"/>
                <w:szCs w:val="18"/>
                <w:lang w:val="ru-RU"/>
              </w:rPr>
            </w:pPr>
            <w:r>
              <w:rPr>
                <w:rFonts w:ascii="Open Sans" w:hAnsi="Open Sans"/>
                <w:sz w:val="18"/>
                <w:szCs w:val="18"/>
              </w:rPr>
              <w:t>IV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D5166A" w14:textId="1070C7BA" w:rsidR="00D76E86" w:rsidRPr="00D76E86" w:rsidRDefault="00D76E86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П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редавања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C9CAC2" w14:textId="77A29D55" w:rsidR="00577D45" w:rsidRPr="00B470FA" w:rsidRDefault="00577D45" w:rsidP="00181EE9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ru-RU"/>
              </w:rPr>
              <w:t>Формирање и историјски развој политике заштите животне средине - политика заштите животне средине пре и после 1992. године</w:t>
            </w:r>
          </w:p>
        </w:tc>
      </w:tr>
      <w:tr w:rsidR="00577D45" w14:paraId="5931C0A5" w14:textId="77777777" w:rsidTr="00181EE9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74E78D" w14:textId="77777777" w:rsidR="00577D45" w:rsidRDefault="00577D45" w:rsidP="00181EE9">
            <w:pPr>
              <w:spacing w:after="0"/>
              <w:rPr>
                <w:rFonts w:ascii="Open Sans" w:hAnsi="Open Sans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7E375BC5" w14:textId="22EC7EC0" w:rsidR="00577D45" w:rsidRDefault="0073036D" w:rsidP="00181EE9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В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ежбе</w:t>
            </w:r>
          </w:p>
          <w:p w14:paraId="53E3D786" w14:textId="2556FC99" w:rsidR="0073036D" w:rsidRPr="00D76E86" w:rsidRDefault="0073036D" w:rsidP="00181EE9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66D01E92" w14:textId="77777777" w:rsidR="00577D45" w:rsidRPr="006A5F4D" w:rsidRDefault="00577D45" w:rsidP="00181EE9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6A5F4D">
              <w:rPr>
                <w:rFonts w:ascii="Open Sans" w:hAnsi="Open Sans"/>
                <w:sz w:val="18"/>
                <w:szCs w:val="18"/>
                <w:lang w:val="ru-RU"/>
              </w:rPr>
              <w:t>Анализа и дискусија о формирању и историјском развоју политике заштите животне средине; Анализа случаја: утицај рудника угља у региону Усти на политику заштите животне средине</w:t>
            </w:r>
          </w:p>
        </w:tc>
      </w:tr>
      <w:tr w:rsidR="00577D45" w14:paraId="0897E1D9" w14:textId="77777777" w:rsidTr="00181EE9">
        <w:trPr>
          <w:cantSplit/>
          <w:trHeight w:val="154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B87293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105C2E" w14:textId="29128E25" w:rsidR="00D76E86" w:rsidRPr="00D76E86" w:rsidRDefault="00D76E86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П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редавања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ACFDF7" w14:textId="47E3FD14" w:rsidR="00577D45" w:rsidRDefault="00577D45" w:rsidP="00181EE9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ru-RU"/>
              </w:rPr>
              <w:t>Теорија општег добра - јавна добра и заједнички интереси, врсте добара, специфичност јавних добара, естерналије, позицијска добра и екстерналије у потрошњи</w:t>
            </w:r>
          </w:p>
        </w:tc>
      </w:tr>
      <w:tr w:rsidR="00577D45" w14:paraId="7060B47C" w14:textId="77777777" w:rsidTr="00181EE9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BFF1B6" w14:textId="77777777" w:rsidR="00577D45" w:rsidRDefault="00577D45" w:rsidP="00181EE9">
            <w:pPr>
              <w:spacing w:after="0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6FA8AF93" w14:textId="4DE01857" w:rsidR="00D76E86" w:rsidRPr="007166C8" w:rsidRDefault="00D76E86" w:rsidP="00B50826">
            <w:pPr>
              <w:spacing w:after="0"/>
              <w:jc w:val="center"/>
              <w:rPr>
                <w:rFonts w:ascii="Open Sans" w:hAnsi="Open Sans"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В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ежбе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564A026" w14:textId="77777777" w:rsidR="00577D45" w:rsidRDefault="00577D45" w:rsidP="00181EE9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6A5F4D">
              <w:rPr>
                <w:rFonts w:ascii="Open Sans" w:hAnsi="Open Sans"/>
                <w:sz w:val="18"/>
                <w:szCs w:val="18"/>
                <w:lang w:val="ru-RU"/>
              </w:rPr>
              <w:t>Анализа и дискусија о теорији општег добра</w:t>
            </w:r>
            <w:r>
              <w:rPr>
                <w:rFonts w:ascii="Open Sans" w:hAnsi="Open Sans"/>
                <w:sz w:val="18"/>
                <w:szCs w:val="18"/>
                <w:lang w:val="sr-Latn-RS"/>
              </w:rPr>
              <w:t xml:space="preserve"> -</w:t>
            </w:r>
            <w:r w:rsidRPr="006A5F4D">
              <w:rPr>
                <w:rFonts w:ascii="Open Sans" w:hAnsi="Open Sans"/>
                <w:sz w:val="18"/>
                <w:szCs w:val="18"/>
                <w:lang w:val="ru-RU"/>
              </w:rPr>
              <w:t xml:space="preserve"> јавним добрима и екстерналијама; Анализа случаја: екстракција минералних сировина или конзервција на Новом Зеланду</w:t>
            </w:r>
          </w:p>
        </w:tc>
      </w:tr>
      <w:tr w:rsidR="00577D45" w14:paraId="119318F3" w14:textId="77777777" w:rsidTr="00181EE9">
        <w:trPr>
          <w:cantSplit/>
          <w:trHeight w:val="160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F8DB5A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sz w:val="18"/>
                <w:szCs w:val="18"/>
              </w:rPr>
              <w:t>VI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03F187" w14:textId="285CB05B" w:rsidR="00577D45" w:rsidRPr="00D76E86" w:rsidRDefault="00D76E86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П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редавања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5575C0" w14:textId="06E6588F" w:rsidR="00577D45" w:rsidRPr="00B470FA" w:rsidRDefault="00577D45" w:rsidP="00181EE9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ru-RU"/>
              </w:rPr>
              <w:t>Екологизам и еколошке партије - зелена идеологија, е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колошке</w:t>
            </w:r>
            <w:proofErr w:type="spellEnd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партије</w:t>
            </w:r>
            <w:proofErr w:type="spellEnd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sr-Cyrl-RS"/>
              </w:rPr>
              <w:t xml:space="preserve"> и</w:t>
            </w:r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sr-Cyrl-RS"/>
              </w:rPr>
              <w:t>е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колошки</w:t>
            </w:r>
            <w:proofErr w:type="spellEnd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покрети</w:t>
            </w:r>
            <w:proofErr w:type="spellEnd"/>
          </w:p>
        </w:tc>
      </w:tr>
      <w:tr w:rsidR="00577D45" w14:paraId="0DD8DB57" w14:textId="77777777" w:rsidTr="00181EE9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30DFB8" w14:textId="77777777" w:rsidR="00577D45" w:rsidRDefault="00577D45" w:rsidP="00181EE9">
            <w:pPr>
              <w:spacing w:after="0"/>
              <w:rPr>
                <w:rFonts w:ascii="Open Sans" w:hAnsi="Open Sans"/>
                <w:sz w:val="18"/>
                <w:szCs w:val="18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15036D96" w14:textId="17D6D958" w:rsidR="007166C8" w:rsidRPr="00D76E86" w:rsidRDefault="007166C8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В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ежбе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F8FE1DE" w14:textId="77777777" w:rsidR="00577D45" w:rsidRPr="00D02DF2" w:rsidRDefault="00577D45" w:rsidP="00181EE9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зеленој идеологији, еколошким партијама и еколошким покретима</w:t>
            </w:r>
          </w:p>
        </w:tc>
      </w:tr>
      <w:tr w:rsidR="00577D45" w14:paraId="078D1C04" w14:textId="77777777" w:rsidTr="00181EE9">
        <w:trPr>
          <w:cantSplit/>
          <w:trHeight w:val="122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635C57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sz w:val="18"/>
                <w:szCs w:val="18"/>
              </w:rPr>
              <w:t>VII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DA573D" w14:textId="018CF670" w:rsidR="00B17523" w:rsidRPr="00D76E86" w:rsidRDefault="00D76E86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П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редавања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518CA3" w14:textId="10F0D0F5" w:rsidR="00577D45" w:rsidRPr="00D02DF2" w:rsidRDefault="00577D45" w:rsidP="00181EE9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ru-RU"/>
              </w:rPr>
              <w:t>Међународна политика заштите животне средине – принципи, м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еханизми</w:t>
            </w:r>
            <w:proofErr w:type="spellEnd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 xml:space="preserve"> и 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средства</w:t>
            </w:r>
            <w:proofErr w:type="spellEnd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sr-Cyrl-RS"/>
              </w:rPr>
              <w:t xml:space="preserve"> -</w:t>
            </w:r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мултилатерални</w:t>
            </w:r>
            <w:proofErr w:type="spellEnd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споразуми</w:t>
            </w:r>
            <w:proofErr w:type="spellEnd"/>
          </w:p>
        </w:tc>
      </w:tr>
      <w:tr w:rsidR="00577D45" w14:paraId="5D597A71" w14:textId="77777777" w:rsidTr="00181EE9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786DEA" w14:textId="77777777" w:rsidR="00577D45" w:rsidRDefault="00577D45" w:rsidP="00181EE9">
            <w:pPr>
              <w:spacing w:after="0"/>
              <w:rPr>
                <w:rFonts w:ascii="Open Sans" w:hAnsi="Open Sans"/>
                <w:sz w:val="18"/>
                <w:szCs w:val="18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661D8724" w14:textId="40EE4C45" w:rsidR="00E26F00" w:rsidRPr="00D76E86" w:rsidRDefault="00E26F00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В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ежбе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15D667D1" w14:textId="77777777" w:rsidR="00577D45" w:rsidRDefault="00577D45" w:rsidP="00181EE9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6A5F4D">
              <w:rPr>
                <w:rFonts w:ascii="Open Sans" w:hAnsi="Open Sans"/>
                <w:sz w:val="18"/>
                <w:szCs w:val="18"/>
                <w:lang w:val="ru-RU"/>
              </w:rPr>
              <w:t>Анализа и дискусија о међународној политици заштите животне средине; Дебата: примена мултилатералних споразума у заштити животне средине – предности и недостаци</w:t>
            </w:r>
          </w:p>
        </w:tc>
      </w:tr>
      <w:tr w:rsidR="00577D45" w14:paraId="33233F3C" w14:textId="77777777" w:rsidTr="00181EE9">
        <w:trPr>
          <w:cantSplit/>
          <w:trHeight w:val="160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BB1FC2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VIII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BE4618" w14:textId="00EDE171" w:rsidR="00B17523" w:rsidRPr="00D76E86" w:rsidRDefault="00D76E86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П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редавања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93E0C8" w14:textId="38251044" w:rsidR="00577D45" w:rsidRPr="00CF2156" w:rsidRDefault="00577D45" w:rsidP="00577D45">
            <w:pPr>
              <w:pStyle w:val="font8"/>
              <w:spacing w:before="0" w:beforeAutospacing="0" w:after="0" w:afterAutospacing="0"/>
              <w:textAlignment w:val="baseline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ru-RU"/>
              </w:rPr>
              <w:t xml:space="preserve">Националне политике заштите животне средине – </w:t>
            </w:r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sr-Cyrl-RS"/>
              </w:rPr>
              <w:t>п</w:t>
            </w:r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лански</w:t>
            </w:r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sr-Cyrl-RS"/>
              </w:rPr>
              <w:t xml:space="preserve"> и з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аконски</w:t>
            </w:r>
            <w:proofErr w:type="spellEnd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sr-Cyrl-RS"/>
              </w:rPr>
              <w:t xml:space="preserve"> инструменти</w:t>
            </w:r>
          </w:p>
        </w:tc>
      </w:tr>
      <w:tr w:rsidR="00577D45" w14:paraId="6790A61C" w14:textId="77777777" w:rsidTr="00181EE9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3DADD2" w14:textId="77777777" w:rsidR="00577D45" w:rsidRDefault="00577D45" w:rsidP="00181EE9">
            <w:pPr>
              <w:spacing w:after="0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464B805A" w14:textId="4A1324E4" w:rsidR="00577D45" w:rsidRDefault="00E26F00" w:rsidP="00181EE9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В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ежбе</w:t>
            </w:r>
          </w:p>
          <w:p w14:paraId="5B424700" w14:textId="64163940" w:rsidR="00E26F00" w:rsidRPr="00D76E86" w:rsidRDefault="00E26F00" w:rsidP="00181EE9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18AAB28E" w14:textId="77777777" w:rsidR="00577D45" w:rsidRDefault="00577D45" w:rsidP="00577D45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CF2156">
              <w:rPr>
                <w:rFonts w:ascii="Open Sans" w:hAnsi="Open Sans"/>
                <w:sz w:val="18"/>
                <w:szCs w:val="18"/>
                <w:lang w:val="ru-RU"/>
              </w:rPr>
              <w:t xml:space="preserve">Анализа и дискусија </w:t>
            </w:r>
            <w:r>
              <w:rPr>
                <w:rFonts w:ascii="Open Sans" w:hAnsi="Open Sans"/>
                <w:sz w:val="18"/>
                <w:szCs w:val="18"/>
                <w:lang w:val="ru-RU"/>
              </w:rPr>
              <w:t>о</w:t>
            </w:r>
            <w:r w:rsidRPr="00CF2156">
              <w:rPr>
                <w:rFonts w:ascii="Open Sans" w:hAnsi="Open Sans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Open Sans" w:hAnsi="Open Sans"/>
                <w:sz w:val="18"/>
                <w:szCs w:val="18"/>
                <w:lang w:val="ru-RU"/>
              </w:rPr>
              <w:t xml:space="preserve">планским и законским </w:t>
            </w:r>
            <w:r w:rsidRPr="00CF2156">
              <w:rPr>
                <w:rFonts w:ascii="Open Sans" w:hAnsi="Open Sans"/>
                <w:sz w:val="18"/>
                <w:szCs w:val="18"/>
                <w:lang w:val="ru-RU"/>
              </w:rPr>
              <w:t>инструментима политике заштите животне средине; Анализа претприступне позиције Републике Србије за Поглавље 27 – Животна средина и климатске промене (анализа пост-скрининг документа)</w:t>
            </w:r>
          </w:p>
        </w:tc>
      </w:tr>
      <w:tr w:rsidR="00577D45" w14:paraId="66A04813" w14:textId="77777777" w:rsidTr="00B50826">
        <w:trPr>
          <w:cantSplit/>
          <w:trHeight w:val="43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4166AD" w14:textId="77777777" w:rsidR="00577D45" w:rsidRDefault="00577D45" w:rsidP="00577D45">
            <w:pPr>
              <w:spacing w:after="0"/>
              <w:jc w:val="center"/>
              <w:rPr>
                <w:rFonts w:ascii="Open Sans" w:hAnsi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sz w:val="18"/>
                <w:szCs w:val="18"/>
              </w:rPr>
              <w:t>IX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0CC0E7" w14:textId="07E35AF5" w:rsidR="00D76E86" w:rsidRPr="00D76E86" w:rsidRDefault="00D76E86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П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редавања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5157C0" w14:textId="4D63C758" w:rsidR="00577D45" w:rsidRPr="00D15FFD" w:rsidRDefault="00577D45" w:rsidP="00825B2F">
            <w:pPr>
              <w:pStyle w:val="font8"/>
              <w:spacing w:before="0" w:beforeAutospacing="0" w:after="0" w:afterAutospacing="0"/>
              <w:textAlignment w:val="baseline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825B2F"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ru-RU"/>
              </w:rPr>
              <w:t>Националне политике заштите животне средине –</w:t>
            </w:r>
            <w:r w:rsidRPr="00825B2F"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sr-Cyrl-RS"/>
              </w:rPr>
              <w:t xml:space="preserve"> е</w:t>
            </w:r>
            <w:proofErr w:type="spellStart"/>
            <w:r w:rsidRPr="00825B2F"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кономски</w:t>
            </w:r>
            <w:proofErr w:type="spellEnd"/>
            <w:r w:rsidRPr="00825B2F"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825B2F"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sr-Cyrl-RS"/>
              </w:rPr>
              <w:t>инструменти</w:t>
            </w:r>
            <w:r w:rsidR="00D15FFD" w:rsidRPr="00825B2F"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sr-Latn-RS"/>
              </w:rPr>
              <w:t xml:space="preserve"> </w:t>
            </w:r>
          </w:p>
        </w:tc>
      </w:tr>
      <w:tr w:rsidR="00577D45" w14:paraId="502E5365" w14:textId="77777777" w:rsidTr="00332239">
        <w:trPr>
          <w:cantSplit/>
          <w:trHeight w:val="160"/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F9ED40" w14:textId="77777777" w:rsidR="00577D45" w:rsidRDefault="00577D45" w:rsidP="00577D45">
            <w:pPr>
              <w:spacing w:after="0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80F7CC0" w14:textId="58F3392D" w:rsidR="00475C55" w:rsidRPr="00475C55" w:rsidRDefault="00475C55" w:rsidP="00B50826">
            <w:pPr>
              <w:spacing w:after="0"/>
              <w:jc w:val="center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В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ежбе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531BD0C" w14:textId="05E56BC3" w:rsidR="00577D45" w:rsidRDefault="00577D45" w:rsidP="00577D45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CF2156">
              <w:rPr>
                <w:rFonts w:ascii="Open Sans" w:hAnsi="Open Sans"/>
                <w:sz w:val="18"/>
                <w:szCs w:val="18"/>
                <w:lang w:val="ru-RU"/>
              </w:rPr>
              <w:t xml:space="preserve">Анализа и дискусија </w:t>
            </w:r>
            <w:r>
              <w:rPr>
                <w:rFonts w:ascii="Open Sans" w:hAnsi="Open Sans"/>
                <w:sz w:val="18"/>
                <w:szCs w:val="18"/>
                <w:lang w:val="ru-RU"/>
              </w:rPr>
              <w:t>о</w:t>
            </w:r>
            <w:r w:rsidRPr="00CF2156">
              <w:rPr>
                <w:rFonts w:ascii="Open Sans" w:hAnsi="Open Sans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Open Sans" w:hAnsi="Open Sans"/>
                <w:sz w:val="18"/>
                <w:szCs w:val="18"/>
                <w:lang w:val="ru-RU"/>
              </w:rPr>
              <w:t>економским</w:t>
            </w:r>
            <w:r w:rsidRPr="00CF2156">
              <w:rPr>
                <w:rFonts w:ascii="Open Sans" w:hAnsi="Open Sans"/>
                <w:sz w:val="18"/>
                <w:szCs w:val="18"/>
                <w:lang w:val="ru-RU"/>
              </w:rPr>
              <w:t xml:space="preserve"> инструментима по</w:t>
            </w:r>
            <w:r>
              <w:rPr>
                <w:rFonts w:ascii="Open Sans" w:hAnsi="Open Sans"/>
                <w:sz w:val="18"/>
                <w:szCs w:val="18"/>
                <w:lang w:val="ru-RU"/>
              </w:rPr>
              <w:t>литике заштите животне средине</w:t>
            </w:r>
          </w:p>
        </w:tc>
      </w:tr>
      <w:tr w:rsidR="00577D45" w14:paraId="730F98FF" w14:textId="77777777" w:rsidTr="00577D45">
        <w:trPr>
          <w:cantSplit/>
          <w:trHeight w:val="154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4221F6" w14:textId="77777777" w:rsidR="00577D45" w:rsidRDefault="00577D45" w:rsidP="00577D45">
            <w:pPr>
              <w:spacing w:after="0"/>
              <w:jc w:val="center"/>
              <w:rPr>
                <w:rFonts w:ascii="Open Sans" w:hAnsi="Open Sans"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1D8CCC" w14:textId="4E100DEE" w:rsidR="000C2032" w:rsidRPr="00D76E86" w:rsidRDefault="00D76E86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П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редавања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AF2AF3" w14:textId="3868832D" w:rsidR="00577D45" w:rsidRDefault="00577D45" w:rsidP="00577D45">
            <w:pPr>
              <w:spacing w:after="0"/>
              <w:jc w:val="both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ru-RU"/>
              </w:rPr>
              <w:t>Националне политике заштите животне средине - и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нструменти</w:t>
            </w:r>
            <w:proofErr w:type="spellEnd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за</w:t>
            </w:r>
            <w:proofErr w:type="spellEnd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процену</w:t>
            </w:r>
            <w:proofErr w:type="spellEnd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утицаја</w:t>
            </w:r>
            <w:proofErr w:type="spellEnd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  <w:lang w:val="sr-Cyrl-RS"/>
              </w:rPr>
              <w:t xml:space="preserve"> и и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нструменти</w:t>
            </w:r>
            <w:proofErr w:type="spellEnd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за</w:t>
            </w:r>
            <w:proofErr w:type="spellEnd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мониторинг</w:t>
            </w:r>
            <w:proofErr w:type="spellEnd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 xml:space="preserve"> и </w:t>
            </w:r>
            <w:proofErr w:type="spellStart"/>
            <w:r>
              <w:rPr>
                <w:rFonts w:ascii="Open Sans" w:hAnsi="Open Sans"/>
                <w:bCs/>
                <w:sz w:val="18"/>
                <w:szCs w:val="18"/>
                <w:bdr w:val="none" w:sz="0" w:space="0" w:color="auto" w:frame="1"/>
              </w:rPr>
              <w:t>евалуацију</w:t>
            </w:r>
            <w:proofErr w:type="spellEnd"/>
          </w:p>
        </w:tc>
      </w:tr>
      <w:tr w:rsidR="00577D45" w14:paraId="699D9A45" w14:textId="77777777" w:rsidTr="00577D45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6D5E0E" w14:textId="77777777" w:rsidR="00577D45" w:rsidRDefault="00577D45" w:rsidP="00577D45">
            <w:pPr>
              <w:spacing w:after="0"/>
              <w:rPr>
                <w:rFonts w:ascii="Open Sans" w:hAnsi="Open Sans"/>
                <w:sz w:val="18"/>
                <w:szCs w:val="18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56BE1CD2" w14:textId="3E18876C" w:rsidR="00475C55" w:rsidRPr="00475C55" w:rsidRDefault="00475C55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Latn-R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В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ежбе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5664870B" w14:textId="7E69B598" w:rsidR="00577D45" w:rsidRDefault="00577D45" w:rsidP="00577D45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  <w:r w:rsidRPr="00CF2156">
              <w:rPr>
                <w:rFonts w:ascii="Open Sans" w:hAnsi="Open Sans"/>
                <w:sz w:val="18"/>
                <w:szCs w:val="18"/>
                <w:lang w:val="ru-RU"/>
              </w:rPr>
              <w:t xml:space="preserve">Анализа и дискусија о </w:t>
            </w:r>
            <w:r>
              <w:rPr>
                <w:rFonts w:ascii="Open Sans" w:hAnsi="Open Sans"/>
                <w:sz w:val="18"/>
                <w:szCs w:val="18"/>
                <w:lang w:val="ru-RU"/>
              </w:rPr>
              <w:t>инструментима за процену утицаја и инструментима за мониторинг и евалуацију</w:t>
            </w:r>
            <w:r w:rsidRPr="00CF2156">
              <w:rPr>
                <w:rFonts w:ascii="Open Sans" w:hAnsi="Open Sans"/>
                <w:sz w:val="18"/>
                <w:szCs w:val="18"/>
                <w:lang w:val="ru-RU"/>
              </w:rPr>
              <w:t>; Анализа претприступне позиције Републике Србије за Поглавље 27 – Животна средина и климатске промене (анализа пост-скрининг документа)</w:t>
            </w:r>
          </w:p>
        </w:tc>
      </w:tr>
      <w:tr w:rsidR="00577D45" w14:paraId="67FC0F6B" w14:textId="77777777" w:rsidTr="00577D45">
        <w:trPr>
          <w:cantSplit/>
          <w:trHeight w:val="160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342AC5" w14:textId="77777777" w:rsidR="00577D45" w:rsidRDefault="00577D45" w:rsidP="00577D45">
            <w:pPr>
              <w:spacing w:after="0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lastRenderedPageBreak/>
              <w:t>XI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59C261" w14:textId="53608F3E" w:rsidR="008F7339" w:rsidRPr="00D76E86" w:rsidRDefault="00D76E86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П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редавања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82AB8D" w14:textId="1C7D3209" w:rsidR="00D05391" w:rsidRPr="00D05391" w:rsidRDefault="00577D45" w:rsidP="00B50826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7D71C9">
              <w:rPr>
                <w:rFonts w:ascii="Open Sans" w:hAnsi="Open Sans"/>
                <w:sz w:val="18"/>
                <w:szCs w:val="18"/>
                <w:lang w:val="ru-RU"/>
              </w:rPr>
              <w:t>Политика заштите животне средине у земљама у транзицији</w:t>
            </w:r>
          </w:p>
        </w:tc>
      </w:tr>
      <w:tr w:rsidR="00577D45" w14:paraId="106A8F5E" w14:textId="77777777" w:rsidTr="00577D4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E87BD9" w14:textId="77777777" w:rsidR="00577D45" w:rsidRDefault="00577D45" w:rsidP="00577D45">
            <w:pPr>
              <w:spacing w:after="0"/>
              <w:rPr>
                <w:rFonts w:ascii="Open Sans" w:hAnsi="Open Sans"/>
                <w:sz w:val="18"/>
                <w:szCs w:val="18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0E416F7" w14:textId="09F55133" w:rsidR="00D15FFD" w:rsidRPr="00240D1B" w:rsidRDefault="00D15FFD" w:rsidP="00B50826">
            <w:pPr>
              <w:spacing w:after="0"/>
              <w:jc w:val="center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В</w:t>
            </w:r>
            <w:r w:rsidR="00577D45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ежбе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51C11F" w14:textId="3AE2C3B3" w:rsidR="00577D45" w:rsidRPr="00BB291A" w:rsidRDefault="00577D45" w:rsidP="00825B2F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sr-Latn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политици заштите животне средине у земљама у транзицији</w:t>
            </w:r>
            <w:r w:rsidR="00BB291A">
              <w:rPr>
                <w:rFonts w:ascii="Open Sans" w:hAnsi="Open Sans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0E3A68" w14:paraId="059D3133" w14:textId="77777777" w:rsidTr="00577D45">
        <w:trPr>
          <w:cantSplit/>
          <w:trHeight w:val="122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0AB91A" w14:textId="77777777" w:rsidR="000E3A68" w:rsidRDefault="000E3A68" w:rsidP="000E3A68">
            <w:pPr>
              <w:spacing w:after="0"/>
              <w:jc w:val="center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XII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6BFDE0" w14:textId="2338C169" w:rsidR="008F7339" w:rsidRPr="00D76E86" w:rsidRDefault="00D76E86" w:rsidP="00B50826">
            <w:pPr>
              <w:spacing w:after="0"/>
              <w:jc w:val="center"/>
              <w:rPr>
                <w:rFonts w:ascii="Open Sans" w:hAnsi="Open Sans"/>
                <w:b/>
                <w:sz w:val="18"/>
                <w:szCs w:val="18"/>
                <w:lang w:val="sr-Cyrl-C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П</w:t>
            </w:r>
            <w:r w:rsidR="000E3A68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редавања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F755A4" w14:textId="2F57158E" w:rsidR="000E3A68" w:rsidRPr="007D71C9" w:rsidRDefault="000E3A68" w:rsidP="000E3A68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  <w:r>
              <w:rPr>
                <w:rFonts w:ascii="Open Sans" w:hAnsi="Open Sans" w:cs="Open Sans"/>
                <w:iCs/>
                <w:sz w:val="18"/>
                <w:szCs w:val="18"/>
                <w:lang w:val="ru-RU"/>
              </w:rPr>
              <w:t>Примена ИТ и ГИС-а у формулисању и доношењу стратешких одлука и одлука у домену практичних политика</w:t>
            </w:r>
          </w:p>
        </w:tc>
      </w:tr>
      <w:tr w:rsidR="000E3A68" w14:paraId="72292716" w14:textId="77777777" w:rsidTr="00577D45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7522FA" w14:textId="77777777" w:rsidR="000E3A68" w:rsidRDefault="000E3A68" w:rsidP="000E3A68">
            <w:pPr>
              <w:spacing w:after="0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7ACBCC86" w14:textId="3A641CE8" w:rsidR="001E5A5D" w:rsidRPr="00BB291A" w:rsidRDefault="00D15FFD" w:rsidP="00B50826">
            <w:pPr>
              <w:spacing w:after="0"/>
              <w:jc w:val="center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В</w:t>
            </w:r>
            <w:r w:rsidR="000E3A68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ежбе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77722CAF" w14:textId="68734D33" w:rsidR="000E3A68" w:rsidRPr="00A97DFE" w:rsidRDefault="000E3A68" w:rsidP="000E3A68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промени политике заштите животне средине после конференције РИО+20</w:t>
            </w:r>
          </w:p>
        </w:tc>
      </w:tr>
      <w:tr w:rsidR="000E3A68" w14:paraId="0B6A1D16" w14:textId="77777777" w:rsidTr="00577D45">
        <w:trPr>
          <w:cantSplit/>
          <w:trHeight w:val="160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CD7E64" w14:textId="77777777" w:rsidR="000E3A68" w:rsidRDefault="000E3A68" w:rsidP="000E3A68">
            <w:pPr>
              <w:spacing w:after="0"/>
              <w:jc w:val="center"/>
              <w:rPr>
                <w:rFonts w:ascii="Open Sans" w:hAnsi="Open Sans"/>
                <w:sz w:val="18"/>
                <w:szCs w:val="18"/>
              </w:rPr>
            </w:pPr>
            <w:r w:rsidRPr="00577D45">
              <w:rPr>
                <w:rFonts w:ascii="Open Sans" w:hAnsi="Open Sans"/>
                <w:sz w:val="18"/>
                <w:szCs w:val="18"/>
              </w:rPr>
              <w:t>XIII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767E7E" w14:textId="2DB5D2E3" w:rsidR="008447EE" w:rsidRPr="008F3B19" w:rsidRDefault="008F3B19" w:rsidP="00B50826">
            <w:pPr>
              <w:spacing w:after="0"/>
              <w:jc w:val="center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П</w:t>
            </w:r>
            <w:r w:rsidR="000E3A68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редавања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DFA281" w14:textId="2A659EC8" w:rsidR="000E3A68" w:rsidRPr="007D71C9" w:rsidRDefault="000E3A68" w:rsidP="000E3A68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ru-RU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Гостујуће предавање (представник локалне самоуправе): Практичне политике заштите животне средине у граду</w:t>
            </w:r>
            <w:r w:rsidR="0014064D">
              <w:rPr>
                <w:rFonts w:ascii="Open Sans" w:hAnsi="Open Sans"/>
                <w:sz w:val="18"/>
                <w:szCs w:val="18"/>
                <w:lang w:val="sr-Cyrl-RS"/>
              </w:rPr>
              <w:t xml:space="preserve"> и примена ГИС</w:t>
            </w:r>
          </w:p>
        </w:tc>
      </w:tr>
      <w:tr w:rsidR="000E3A68" w14:paraId="76CAB57B" w14:textId="77777777" w:rsidTr="00577D4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A8FE4" w14:textId="77777777" w:rsidR="000E3A68" w:rsidRDefault="000E3A68" w:rsidP="000E3A68">
            <w:pPr>
              <w:spacing w:after="0"/>
              <w:rPr>
                <w:rFonts w:ascii="Open Sans" w:hAnsi="Open Sans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419EC876" w14:textId="336829CE" w:rsidR="008447EE" w:rsidRPr="008F3B19" w:rsidRDefault="008F3B19" w:rsidP="00B50826">
            <w:pPr>
              <w:spacing w:after="0"/>
              <w:jc w:val="center"/>
              <w:rPr>
                <w:rFonts w:ascii="Open Sans" w:hAnsi="Open Sans"/>
                <w:sz w:val="18"/>
                <w:szCs w:val="18"/>
                <w:lang w:val="sr-Latn-RS"/>
              </w:rPr>
            </w:pPr>
            <w:r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В</w:t>
            </w:r>
            <w:r w:rsidR="000E3A68" w:rsidRPr="00D76E86">
              <w:rPr>
                <w:rFonts w:ascii="Open Sans" w:hAnsi="Open Sans"/>
                <w:b/>
                <w:sz w:val="18"/>
                <w:szCs w:val="18"/>
                <w:lang w:val="sr-Cyrl-CS"/>
              </w:rPr>
              <w:t>ежбе</w:t>
            </w:r>
          </w:p>
        </w:tc>
        <w:tc>
          <w:tcPr>
            <w:tcW w:w="74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037D3E46" w14:textId="57B4FDEE" w:rsidR="000E3A68" w:rsidRPr="003A60F2" w:rsidRDefault="000E3A68" w:rsidP="000E3A68">
            <w:pPr>
              <w:spacing w:after="0"/>
              <w:jc w:val="both"/>
              <w:rPr>
                <w:rFonts w:ascii="Open Sans" w:hAnsi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/>
                <w:sz w:val="18"/>
                <w:szCs w:val="18"/>
                <w:lang w:val="sr-Cyrl-RS"/>
              </w:rPr>
              <w:t>Анализа и дискусија о практичним политикама заштите животне средине у граду</w:t>
            </w:r>
          </w:p>
        </w:tc>
      </w:tr>
    </w:tbl>
    <w:p w14:paraId="59A11669" w14:textId="77777777" w:rsidR="00577D45" w:rsidRDefault="00577D45" w:rsidP="00577D45">
      <w:pPr>
        <w:spacing w:after="0"/>
        <w:rPr>
          <w:rFonts w:ascii="Open Sans" w:hAnsi="Open Sans"/>
          <w:b/>
          <w:sz w:val="18"/>
          <w:szCs w:val="18"/>
        </w:rPr>
      </w:pPr>
    </w:p>
    <w:p w14:paraId="13E5952F" w14:textId="77777777" w:rsidR="00577D45" w:rsidRPr="0024155D" w:rsidRDefault="00577D45" w:rsidP="00577D45">
      <w:pPr>
        <w:spacing w:after="0" w:line="240" w:lineRule="auto"/>
        <w:jc w:val="both"/>
        <w:rPr>
          <w:rFonts w:ascii="Open Sans" w:eastAsia="Times New Roman" w:hAnsi="Open Sans" w:cs="Times New Roman"/>
          <w:b/>
          <w:sz w:val="18"/>
          <w:szCs w:val="18"/>
          <w:lang w:val="sr-Cyrl-CS"/>
        </w:rPr>
      </w:pPr>
    </w:p>
    <w:tbl>
      <w:tblPr>
        <w:tblW w:w="9600" w:type="dxa"/>
        <w:jc w:val="center"/>
        <w:tblLook w:val="01E0" w:firstRow="1" w:lastRow="1" w:firstColumn="1" w:lastColumn="1" w:noHBand="0" w:noVBand="0"/>
      </w:tblPr>
      <w:tblGrid>
        <w:gridCol w:w="4140"/>
        <w:gridCol w:w="1228"/>
        <w:gridCol w:w="212"/>
        <w:gridCol w:w="4020"/>
      </w:tblGrid>
      <w:tr w:rsidR="00577D45" w:rsidRPr="0024155D" w14:paraId="44D9F956" w14:textId="77777777" w:rsidTr="00181EE9">
        <w:trPr>
          <w:jc w:val="center"/>
        </w:trPr>
        <w:tc>
          <w:tcPr>
            <w:tcW w:w="4140" w:type="dxa"/>
          </w:tcPr>
          <w:p w14:paraId="6998FA26" w14:textId="77777777" w:rsidR="00577D45" w:rsidRPr="0024155D" w:rsidRDefault="00577D45" w:rsidP="00181EE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sz w:val="18"/>
                <w:szCs w:val="18"/>
                <w:lang w:val="sr-Latn-CS"/>
              </w:rPr>
            </w:pPr>
            <w:r w:rsidRPr="0024155D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>Предметни асистент</w:t>
            </w:r>
            <w:r w:rsidRPr="0024155D">
              <w:rPr>
                <w:rFonts w:ascii="Open Sans" w:eastAsia="Times New Roman" w:hAnsi="Open Sans" w:cs="Times New Roman"/>
                <w:b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1440" w:type="dxa"/>
            <w:gridSpan w:val="2"/>
            <w:vAlign w:val="center"/>
          </w:tcPr>
          <w:p w14:paraId="2CC167FC" w14:textId="77777777" w:rsidR="00577D45" w:rsidRPr="0024155D" w:rsidRDefault="00577D45" w:rsidP="00181EE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020" w:type="dxa"/>
          </w:tcPr>
          <w:p w14:paraId="12BF02C5" w14:textId="77777777" w:rsidR="00577D45" w:rsidRPr="0024155D" w:rsidRDefault="00577D45" w:rsidP="00181EE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sz w:val="18"/>
                <w:szCs w:val="18"/>
                <w:lang w:val="sr-Latn-CS"/>
              </w:rPr>
            </w:pPr>
            <w:r w:rsidRPr="0024155D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>Предметни наставник</w:t>
            </w:r>
            <w:r w:rsidRPr="0024155D">
              <w:rPr>
                <w:rFonts w:ascii="Open Sans" w:eastAsia="Times New Roman" w:hAnsi="Open Sans" w:cs="Times New Roman"/>
                <w:b/>
                <w:sz w:val="18"/>
                <w:szCs w:val="18"/>
                <w:lang w:val="sr-Latn-CS"/>
              </w:rPr>
              <w:t>:</w:t>
            </w:r>
          </w:p>
        </w:tc>
      </w:tr>
      <w:tr w:rsidR="00577D45" w14:paraId="6967117F" w14:textId="77777777" w:rsidTr="00181EE9">
        <w:trPr>
          <w:trHeight w:val="539"/>
          <w:jc w:val="center"/>
        </w:trPr>
        <w:tc>
          <w:tcPr>
            <w:tcW w:w="4140" w:type="dxa"/>
            <w:vAlign w:val="center"/>
            <w:hideMark/>
          </w:tcPr>
          <w:p w14:paraId="793F33CD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iCs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iCs/>
                <w:sz w:val="18"/>
                <w:szCs w:val="18"/>
                <w:lang w:val="sr-Cyrl-CS"/>
              </w:rPr>
              <w:t>др Александра Илић Петковић</w:t>
            </w:r>
          </w:p>
          <w:p w14:paraId="08B33E54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iCs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iCs/>
                <w:sz w:val="18"/>
                <w:szCs w:val="18"/>
                <w:lang w:val="sr-Cyrl-CS"/>
              </w:rPr>
              <w:t>др Слободан Милутиновић</w:t>
            </w:r>
          </w:p>
        </w:tc>
        <w:tc>
          <w:tcPr>
            <w:tcW w:w="1228" w:type="dxa"/>
            <w:vAlign w:val="center"/>
          </w:tcPr>
          <w:p w14:paraId="5F6AE3EC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iCs/>
                <w:sz w:val="18"/>
                <w:szCs w:val="18"/>
                <w:lang w:val="sr-Latn-CS"/>
              </w:rPr>
            </w:pPr>
          </w:p>
        </w:tc>
        <w:tc>
          <w:tcPr>
            <w:tcW w:w="4232" w:type="dxa"/>
            <w:gridSpan w:val="2"/>
            <w:vAlign w:val="center"/>
            <w:hideMark/>
          </w:tcPr>
          <w:p w14:paraId="22B6B28C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iCs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iCs/>
                <w:sz w:val="18"/>
                <w:szCs w:val="18"/>
                <w:lang w:val="sr-Cyrl-CS"/>
              </w:rPr>
              <w:t>др Слободан Милутиновић, ред. проф.</w:t>
            </w:r>
          </w:p>
          <w:p w14:paraId="55EC6838" w14:textId="77777777" w:rsidR="00577D45" w:rsidRDefault="00577D45" w:rsidP="00181EE9">
            <w:pPr>
              <w:spacing w:after="0"/>
              <w:jc w:val="center"/>
              <w:rPr>
                <w:rFonts w:ascii="Open Sans" w:hAnsi="Open Sans"/>
                <w:iCs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iCs/>
                <w:sz w:val="18"/>
                <w:szCs w:val="18"/>
                <w:lang w:val="sr-Cyrl-CS"/>
              </w:rPr>
              <w:t>др Александра Илић Петковић, ванр. проф.</w:t>
            </w:r>
          </w:p>
        </w:tc>
      </w:tr>
    </w:tbl>
    <w:p w14:paraId="32171738" w14:textId="77777777" w:rsidR="00577D45" w:rsidRDefault="00577D45" w:rsidP="00577D45">
      <w:pPr>
        <w:rPr>
          <w:lang w:val="sr-Cyrl-CS" w:eastAsia="de-DE"/>
        </w:rPr>
      </w:pPr>
    </w:p>
    <w:p w14:paraId="3AE29044" w14:textId="77777777" w:rsidR="00F819A2" w:rsidRPr="00577D45" w:rsidRDefault="00F819A2">
      <w:pPr>
        <w:rPr>
          <w:lang w:val="sr-Cyrl-RS"/>
        </w:rPr>
      </w:pPr>
    </w:p>
    <w:sectPr w:rsidR="00F819A2" w:rsidRPr="00577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45"/>
    <w:rsid w:val="000C2032"/>
    <w:rsid w:val="000E3A68"/>
    <w:rsid w:val="0014064D"/>
    <w:rsid w:val="001669E6"/>
    <w:rsid w:val="00177175"/>
    <w:rsid w:val="001E5A5D"/>
    <w:rsid w:val="00240D1B"/>
    <w:rsid w:val="002D4C55"/>
    <w:rsid w:val="00361B7D"/>
    <w:rsid w:val="00445EAD"/>
    <w:rsid w:val="00475C55"/>
    <w:rsid w:val="004F48D9"/>
    <w:rsid w:val="004F5A1A"/>
    <w:rsid w:val="00541657"/>
    <w:rsid w:val="00577D45"/>
    <w:rsid w:val="007166C8"/>
    <w:rsid w:val="0073036D"/>
    <w:rsid w:val="00800000"/>
    <w:rsid w:val="00825B2F"/>
    <w:rsid w:val="008447EE"/>
    <w:rsid w:val="00877B64"/>
    <w:rsid w:val="008F3B19"/>
    <w:rsid w:val="008F7339"/>
    <w:rsid w:val="00B17523"/>
    <w:rsid w:val="00B507AF"/>
    <w:rsid w:val="00B50826"/>
    <w:rsid w:val="00B63D9E"/>
    <w:rsid w:val="00BB291A"/>
    <w:rsid w:val="00BC27DF"/>
    <w:rsid w:val="00BC598D"/>
    <w:rsid w:val="00D05391"/>
    <w:rsid w:val="00D15FFD"/>
    <w:rsid w:val="00D60C04"/>
    <w:rsid w:val="00D76E86"/>
    <w:rsid w:val="00D827EB"/>
    <w:rsid w:val="00E26F00"/>
    <w:rsid w:val="00E7095A"/>
    <w:rsid w:val="00F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4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45"/>
    <w:pPr>
      <w:spacing w:after="200" w:line="276" w:lineRule="auto"/>
    </w:pPr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57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45"/>
    <w:pPr>
      <w:spacing w:after="200" w:line="276" w:lineRule="auto"/>
    </w:pPr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57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29</cp:revision>
  <dcterms:created xsi:type="dcterms:W3CDTF">2021-10-07T10:43:00Z</dcterms:created>
  <dcterms:modified xsi:type="dcterms:W3CDTF">2023-01-10T10:26:00Z</dcterms:modified>
</cp:coreProperties>
</file>